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21C099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E66EE4" w:rsidRPr="00E66EE4">
        <w:rPr>
          <w:sz w:val="32"/>
          <w:szCs w:val="32"/>
        </w:rPr>
        <w:t>R1-1806227</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DE60D0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E66EE4" w:rsidRPr="00E66EE4">
        <w:rPr>
          <w:sz w:val="22"/>
          <w:szCs w:val="22"/>
          <w:lang w:val="sv-FI"/>
        </w:rPr>
        <w:t>7.1.2.3.5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7453680" w:rsidR="00E90E49" w:rsidRPr="00CE0424" w:rsidRDefault="003D3C45" w:rsidP="00311702">
      <w:pPr>
        <w:pStyle w:val="3GPPHeader"/>
        <w:rPr>
          <w:sz w:val="22"/>
          <w:szCs w:val="22"/>
        </w:rPr>
      </w:pPr>
      <w:r>
        <w:rPr>
          <w:sz w:val="22"/>
          <w:szCs w:val="22"/>
        </w:rPr>
        <w:t>Title:</w:t>
      </w:r>
      <w:r w:rsidR="00E90E49" w:rsidRPr="00CE0424">
        <w:rPr>
          <w:sz w:val="22"/>
          <w:szCs w:val="22"/>
        </w:rPr>
        <w:tab/>
      </w:r>
      <w:r w:rsidR="00E66EE4" w:rsidRPr="00E66EE4">
        <w:rPr>
          <w:sz w:val="22"/>
          <w:szCs w:val="22"/>
        </w:rPr>
        <w:t>Remaining issues on SRS</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3437D">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9A5B540" w14:textId="7F28B6D3" w:rsidR="00343419" w:rsidRDefault="00343419" w:rsidP="00343419">
      <w:pPr>
        <w:pStyle w:val="BodyText"/>
        <w:rPr>
          <w:lang w:val="sv-SE"/>
        </w:rPr>
      </w:pPr>
      <w:r>
        <w:t xml:space="preserve">In this contribution, we discuss the number of SRS resource sets that can be configured when </w:t>
      </w:r>
      <w:r w:rsidRPr="00080A11">
        <w:rPr>
          <w:i/>
        </w:rPr>
        <w:t>SRS-SetUse</w:t>
      </w:r>
      <w:r>
        <w:t xml:space="preserve"> is set to ‘Antenna Switching’, addressing the respective FFS in the following RAN1#92bis agreement.</w:t>
      </w:r>
    </w:p>
    <w:p w14:paraId="214E1656" w14:textId="77777777" w:rsidR="00343419" w:rsidRPr="000F489D" w:rsidRDefault="00343419" w:rsidP="00343419">
      <w:pPr>
        <w:rPr>
          <w:rFonts w:eastAsia="MS Mincho"/>
          <w:b/>
        </w:rPr>
      </w:pPr>
      <w:r w:rsidRPr="000F489D">
        <w:rPr>
          <w:rFonts w:eastAsia="Malgun Gothic"/>
          <w:b/>
          <w:highlight w:val="green"/>
          <w:lang w:eastAsia="zh-CN"/>
        </w:rPr>
        <w:t>Agreement</w:t>
      </w:r>
      <w:r w:rsidRPr="000F489D">
        <w:rPr>
          <w:rFonts w:eastAsia="MS Mincho" w:hint="eastAsia"/>
          <w:b/>
        </w:rPr>
        <w:t xml:space="preserve"> </w:t>
      </w:r>
    </w:p>
    <w:p w14:paraId="4BBB947E" w14:textId="77777777" w:rsidR="00343419" w:rsidRPr="000F489D" w:rsidRDefault="00343419" w:rsidP="00343419">
      <w:pPr>
        <w:pStyle w:val="ListParagraph"/>
        <w:numPr>
          <w:ilvl w:val="0"/>
          <w:numId w:val="23"/>
        </w:numPr>
        <w:overflowPunct/>
        <w:autoSpaceDE/>
        <w:autoSpaceDN/>
        <w:adjustRightInd/>
        <w:textAlignment w:val="auto"/>
        <w:rPr>
          <w:rFonts w:eastAsia="Malgun Gothic"/>
          <w:lang w:eastAsia="zh-CN"/>
        </w:rPr>
      </w:pPr>
      <w:r w:rsidRPr="000F489D">
        <w:rPr>
          <w:rFonts w:eastAsia="Malgun Gothic"/>
          <w:lang w:eastAsia="zh-CN"/>
        </w:rPr>
        <w:t xml:space="preserve">1T4R antenna switching for SRS transmission is supported by 2 aperiodic SRS resource sets </w:t>
      </w:r>
    </w:p>
    <w:p w14:paraId="763C88E7" w14:textId="77777777" w:rsidR="00343419" w:rsidRPr="000F489D" w:rsidRDefault="00343419" w:rsidP="00343419">
      <w:pPr>
        <w:pStyle w:val="ListParagraph"/>
        <w:numPr>
          <w:ilvl w:val="1"/>
          <w:numId w:val="23"/>
        </w:numPr>
        <w:overflowPunct/>
        <w:autoSpaceDE/>
        <w:autoSpaceDN/>
        <w:adjustRightInd/>
        <w:textAlignment w:val="auto"/>
        <w:rPr>
          <w:rFonts w:eastAsia="Malgun Gothic"/>
          <w:lang w:eastAsia="zh-CN"/>
        </w:rPr>
      </w:pPr>
      <w:r w:rsidRPr="000F489D">
        <w:rPr>
          <w:rFonts w:eastAsia="Malgun Gothic"/>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14:paraId="0B5CEBAD" w14:textId="77777777" w:rsidR="00343419" w:rsidRPr="000F489D" w:rsidRDefault="00343419" w:rsidP="00343419">
      <w:pPr>
        <w:pStyle w:val="ListParagraph"/>
        <w:numPr>
          <w:ilvl w:val="1"/>
          <w:numId w:val="23"/>
        </w:numPr>
        <w:overflowPunct/>
        <w:autoSpaceDE/>
        <w:autoSpaceDN/>
        <w:adjustRightInd/>
        <w:textAlignment w:val="auto"/>
        <w:rPr>
          <w:rFonts w:eastAsia="Malgun Gothic"/>
          <w:lang w:eastAsia="zh-CN"/>
        </w:rPr>
      </w:pPr>
      <w:r w:rsidRPr="000F489D">
        <w:rPr>
          <w:rFonts w:eastAsia="Malgun Gothic"/>
          <w:lang w:eastAsia="zh-CN"/>
        </w:rPr>
        <w:t>each of the two SRS resource sets consists of two SRS resources, or one SRS resource set consists of a single SRS resource and the other SRS resource set consists of three SRS resources</w:t>
      </w:r>
    </w:p>
    <w:p w14:paraId="06C9F2BD" w14:textId="77777777" w:rsidR="00343419" w:rsidRPr="000F489D" w:rsidRDefault="00343419" w:rsidP="00343419">
      <w:pPr>
        <w:pStyle w:val="ListParagraph"/>
        <w:numPr>
          <w:ilvl w:val="1"/>
          <w:numId w:val="23"/>
        </w:numPr>
        <w:overflowPunct/>
        <w:autoSpaceDE/>
        <w:autoSpaceDN/>
        <w:adjustRightInd/>
        <w:textAlignment w:val="auto"/>
        <w:rPr>
          <w:rFonts w:eastAsia="Malgun Gothic"/>
          <w:lang w:eastAsia="zh-CN"/>
        </w:rPr>
      </w:pPr>
      <w:r w:rsidRPr="000F489D">
        <w:rPr>
          <w:rFonts w:eastAsia="Malgun Gothic"/>
          <w:lang w:eastAsia="zh-CN"/>
        </w:rPr>
        <w:t xml:space="preserve">the UE shall expect the same value for the higher layer parameters </w:t>
      </w:r>
      <w:r w:rsidRPr="000F489D">
        <w:rPr>
          <w:rFonts w:eastAsia="Malgun Gothic"/>
          <w:i/>
          <w:iCs/>
          <w:lang w:eastAsia="zh-CN"/>
        </w:rPr>
        <w:t>alpha-srs, p0-srs, srs-pathlossReference-rs-config and srs-pcadjustment-state-config</w:t>
      </w:r>
      <w:r w:rsidRPr="000F489D">
        <w:rPr>
          <w:rFonts w:eastAsia="Malgun Gothic"/>
          <w:lang w:eastAsia="zh-CN"/>
        </w:rPr>
        <w:t xml:space="preserve"> in the two SRS resource sets</w:t>
      </w:r>
    </w:p>
    <w:p w14:paraId="0C71FA8E" w14:textId="77777777" w:rsidR="00343419" w:rsidRPr="000F489D" w:rsidRDefault="00343419" w:rsidP="00343419">
      <w:pPr>
        <w:pStyle w:val="ListParagraph"/>
        <w:numPr>
          <w:ilvl w:val="1"/>
          <w:numId w:val="23"/>
        </w:numPr>
        <w:overflowPunct/>
        <w:autoSpaceDE/>
        <w:autoSpaceDN/>
        <w:adjustRightInd/>
        <w:textAlignment w:val="auto"/>
        <w:rPr>
          <w:rFonts w:eastAsia="Malgun Gothic"/>
          <w:lang w:eastAsia="zh-CN"/>
        </w:rPr>
      </w:pPr>
      <w:r w:rsidRPr="000F489D">
        <w:rPr>
          <w:rFonts w:eastAsia="Malgun Gothic"/>
          <w:lang w:eastAsia="zh-CN"/>
        </w:rPr>
        <w:t>FFS: On UE ambiguity if two DCI triggers separately triggers two SRS resource sets</w:t>
      </w:r>
      <w:bookmarkStart w:id="0" w:name="_GoBack"/>
      <w:bookmarkEnd w:id="0"/>
    </w:p>
    <w:p w14:paraId="0BA5CE6A" w14:textId="77777777" w:rsidR="00343419" w:rsidRPr="000F489D" w:rsidRDefault="00343419" w:rsidP="00343419">
      <w:pPr>
        <w:pStyle w:val="ListParagraph"/>
        <w:numPr>
          <w:ilvl w:val="0"/>
          <w:numId w:val="23"/>
        </w:numPr>
        <w:overflowPunct/>
        <w:autoSpaceDE/>
        <w:autoSpaceDN/>
        <w:adjustRightInd/>
        <w:textAlignment w:val="auto"/>
        <w:rPr>
          <w:rFonts w:eastAsia="Malgun Gothic"/>
          <w:lang w:eastAsia="zh-CN"/>
        </w:rPr>
      </w:pPr>
      <w:r w:rsidRPr="000F489D">
        <w:rPr>
          <w:rFonts w:eastAsia="Malgun Gothic"/>
          <w:lang w:eastAsia="zh-CN"/>
        </w:rPr>
        <w:t>FFS: The gap before or after any SRS resource set for antenna switching</w:t>
      </w:r>
    </w:p>
    <w:p w14:paraId="095194A3" w14:textId="4E57CA29" w:rsidR="00343419" w:rsidRPr="00343419" w:rsidRDefault="00343419" w:rsidP="00343419">
      <w:pPr>
        <w:pStyle w:val="ListParagraph"/>
        <w:numPr>
          <w:ilvl w:val="0"/>
          <w:numId w:val="23"/>
        </w:numPr>
        <w:overflowPunct/>
        <w:autoSpaceDE/>
        <w:autoSpaceDN/>
        <w:adjustRightInd/>
        <w:textAlignment w:val="auto"/>
        <w:rPr>
          <w:rFonts w:eastAsia="Malgun Gothic"/>
          <w:lang w:eastAsia="zh-CN"/>
        </w:rPr>
      </w:pPr>
      <w:r w:rsidRPr="000F489D">
        <w:rPr>
          <w:rFonts w:eastAsia="Malgun Gothic"/>
          <w:lang w:eastAsia="zh-CN"/>
        </w:rPr>
        <w:t>FFS: The number of SRS resource sets for other cases</w:t>
      </w:r>
    </w:p>
    <w:p w14:paraId="020415C4" w14:textId="407E817B" w:rsidR="004000E8" w:rsidRDefault="00230D18" w:rsidP="00CE0424">
      <w:pPr>
        <w:pStyle w:val="Heading1"/>
      </w:pPr>
      <w:bookmarkStart w:id="1" w:name="_Ref178064866"/>
      <w:r>
        <w:t>2</w:t>
      </w:r>
      <w:r>
        <w:tab/>
      </w:r>
      <w:r w:rsidR="004000E8" w:rsidRPr="00CE0424">
        <w:t>Discussion</w:t>
      </w:r>
      <w:bookmarkEnd w:id="1"/>
    </w:p>
    <w:p w14:paraId="503A1650" w14:textId="535448ED" w:rsidR="00F26747" w:rsidRPr="00F26747" w:rsidRDefault="00F26747" w:rsidP="00B27C67">
      <w:pPr>
        <w:pStyle w:val="BodyText"/>
      </w:pPr>
      <w:r>
        <w:t xml:space="preserve">When UE antenna switching is enabled through configuration of </w:t>
      </w:r>
      <w:r w:rsidRPr="00B27C67">
        <w:rPr>
          <w:i/>
        </w:rPr>
        <w:t>SRS-SetUse</w:t>
      </w:r>
      <w:r>
        <w:t xml:space="preserve"> = ‘antennaSwitching’, SRS may be configured as described in Section 6.2.1.2 of [1] to support the following 5 use cases: 1T2R, 2T4R, 1T4R (periodic/semi-persistent), 1T4R (aperiodic), and T = R. In the above agreement capturing the 1T4R (aperiodic SRS) case, there are several FFS items which we address here.</w:t>
      </w:r>
    </w:p>
    <w:p w14:paraId="71C3A24B" w14:textId="3DDE5E12" w:rsidR="00F63950" w:rsidRDefault="00230D18" w:rsidP="00F63950">
      <w:pPr>
        <w:pStyle w:val="Heading2"/>
      </w:pPr>
      <w:r>
        <w:t>2.1</w:t>
      </w:r>
      <w:r>
        <w:tab/>
      </w:r>
      <w:r w:rsidR="00CC40ED">
        <w:t>Number</w:t>
      </w:r>
      <w:r w:rsidR="0044761D">
        <w:t xml:space="preserve"> of SRS resource sets for </w:t>
      </w:r>
      <w:r w:rsidR="00F26747">
        <w:t>antenna switching</w:t>
      </w:r>
    </w:p>
    <w:p w14:paraId="3F7E4B02" w14:textId="52337649" w:rsidR="00046AD1" w:rsidRDefault="0002618E" w:rsidP="00CE0424">
      <w:pPr>
        <w:pStyle w:val="BodyText"/>
      </w:pPr>
      <w:r>
        <w:t>The first FFS is with regards to the number of SRS sets that may be configured for the “other cases,” meaning the 4 out of the 5 antenna switching configurations apart from 1T4R (aperiodic) where the number of sets is restricted to two.</w:t>
      </w:r>
      <w:r w:rsidR="00046AD1">
        <w:t xml:space="preserve"> </w:t>
      </w:r>
      <w:r>
        <w:t xml:space="preserve">As agreed previously, </w:t>
      </w:r>
      <w:r w:rsidR="003F7F5E">
        <w:t xml:space="preserve">the maximum number of SRS resource sets is 16. </w:t>
      </w:r>
      <w:r>
        <w:t>For both</w:t>
      </w:r>
      <w:r w:rsidR="003F7F5E">
        <w:t xml:space="preserve"> </w:t>
      </w:r>
      <w:r w:rsidR="003F7F5E" w:rsidRPr="00E8048D">
        <w:rPr>
          <w:i/>
        </w:rPr>
        <w:t>SRS-SetUse</w:t>
      </w:r>
      <w:r>
        <w:t xml:space="preserve"> = ‘codebook’ and ‘nonCodebook’, the maximum number of SRS sets has been agreed to be only 1. Hence, this leaves a total of 14 SRS resource sets </w:t>
      </w:r>
      <w:r w:rsidR="00046AD1">
        <w:t>for other use cases.</w:t>
      </w:r>
    </w:p>
    <w:p w14:paraId="37AA93C7" w14:textId="1D61F2D8" w:rsidR="00B53A9B" w:rsidRDefault="00046AD1" w:rsidP="00CE0424">
      <w:pPr>
        <w:pStyle w:val="BodyText"/>
      </w:pPr>
      <w:r>
        <w:t xml:space="preserve">For the </w:t>
      </w:r>
      <w:r w:rsidR="00B53A9B" w:rsidRPr="00E8048D">
        <w:rPr>
          <w:i/>
        </w:rPr>
        <w:t>SRS-SetUse</w:t>
      </w:r>
      <w:r w:rsidR="00B53A9B">
        <w:t xml:space="preserve"> = </w:t>
      </w:r>
      <w:r>
        <w:t xml:space="preserve">‘beamManagement’ </w:t>
      </w:r>
      <w:r w:rsidR="00B53A9B">
        <w:t xml:space="preserve">use </w:t>
      </w:r>
      <w:r>
        <w:t>case, the idea behind allowing configuration of multiple sets is to support UEs with multiple antenna panels. One restriction with this use case is that only one resource per set can be transmitted at any given time instant, which corresponds to simultaneous transmission from multiple panels. Since the number of panels for a UE is expected to be quite small, e.g., 2 or 4,</w:t>
      </w:r>
      <w:r w:rsidR="00B53A9B">
        <w:t xml:space="preserve"> one might expect that up to 4 out of the 14 remaining sets could be used for beam management.</w:t>
      </w:r>
    </w:p>
    <w:p w14:paraId="02E90FC2" w14:textId="0B16A8A1" w:rsidR="001D53C4" w:rsidRDefault="00B53A9B" w:rsidP="00B27C67">
      <w:pPr>
        <w:pStyle w:val="BodyText"/>
      </w:pPr>
      <w:r>
        <w:lastRenderedPageBreak/>
        <w:t>T</w:t>
      </w:r>
      <w:r w:rsidR="00046AD1">
        <w:t xml:space="preserve">his leaves open the possibility to configure multiple sets for the </w:t>
      </w:r>
      <w:r w:rsidRPr="00E8048D">
        <w:rPr>
          <w:i/>
        </w:rPr>
        <w:t>SRS-SetUse</w:t>
      </w:r>
      <w:r>
        <w:t xml:space="preserve"> = </w:t>
      </w:r>
      <w:r w:rsidR="00046AD1">
        <w:t>‘antenna</w:t>
      </w:r>
      <w:r>
        <w:t>S</w:t>
      </w:r>
      <w:r w:rsidR="00046AD1">
        <w:t>witching’ use case, hence the FFS in the above agreement.</w:t>
      </w:r>
      <w:r>
        <w:t xml:space="preserve"> </w:t>
      </w:r>
      <w:r w:rsidR="00046AD1">
        <w:t>In our view, it is beneficial to make use of multiple sets</w:t>
      </w:r>
      <w:r>
        <w:t xml:space="preserve"> to have good support</w:t>
      </w:r>
      <w:r w:rsidR="007E2837">
        <w:t xml:space="preserve"> </w:t>
      </w:r>
      <w:r>
        <w:t>for</w:t>
      </w:r>
      <w:r w:rsidR="007E2837">
        <w:t xml:space="preserve"> reciprocity-based </w:t>
      </w:r>
      <w:r>
        <w:t xml:space="preserve">DL </w:t>
      </w:r>
      <w:r w:rsidR="007E2837">
        <w:t>beamforming</w:t>
      </w:r>
      <w:r>
        <w:t xml:space="preserve"> which is the primary reason for configuring </w:t>
      </w:r>
      <w:r w:rsidRPr="00B27C67">
        <w:rPr>
          <w:i/>
        </w:rPr>
        <w:t>SRS-SetUse</w:t>
      </w:r>
      <w:r>
        <w:t xml:space="preserve"> = ‘antennaSwitching</w:t>
      </w:r>
      <w:r w:rsidR="0095469C">
        <w:t>.</w:t>
      </w:r>
      <w:r>
        <w:t>’</w:t>
      </w:r>
      <w:r w:rsidR="007E2837">
        <w:t>.</w:t>
      </w:r>
      <w:r>
        <w:t xml:space="preserve">Allowing configuration of multiple sets is attractive when it is desired to configure SRS resources differently, such as different time domain behaviour (periodic vs. aperiodic), or different sounding bandwidths. Partition into different sets is a natural – if not required – method to </w:t>
      </w:r>
      <w:r w:rsidR="0095469C">
        <w:t>support</w:t>
      </w:r>
      <w:r>
        <w:t xml:space="preserve"> this. One typical example would be to support p</w:t>
      </w:r>
      <w:r w:rsidR="00A61964">
        <w:t xml:space="preserve">eriodic sounding over the entire bandwidth part </w:t>
      </w:r>
      <w:r>
        <w:t>with one set</w:t>
      </w:r>
      <w:r w:rsidR="0095469C">
        <w:t xml:space="preserve">, </w:t>
      </w:r>
      <w:r>
        <w:t xml:space="preserve">complemented with </w:t>
      </w:r>
      <w:r w:rsidR="00A61964">
        <w:t xml:space="preserve">aperiodic sounding over the </w:t>
      </w:r>
      <w:r>
        <w:t xml:space="preserve">actually allocated </w:t>
      </w:r>
      <w:r w:rsidR="00A61964">
        <w:t>PDSCH bandwidth</w:t>
      </w:r>
      <w:r w:rsidR="0095469C">
        <w:t xml:space="preserve"> with a different set.</w:t>
      </w:r>
    </w:p>
    <w:p w14:paraId="4D93EC79" w14:textId="343255DD" w:rsidR="0095469C" w:rsidRDefault="00B77C5A" w:rsidP="00DF4CF5">
      <w:pPr>
        <w:pStyle w:val="Proposal"/>
      </w:pPr>
      <w:bookmarkStart w:id="2" w:name="_Ref190406817"/>
      <w:bookmarkStart w:id="3" w:name="_Toc226862296"/>
      <w:bookmarkStart w:id="4" w:name="_Toc513793188"/>
      <w:bookmarkStart w:id="5" w:name="_Toc347823621"/>
      <w:bookmarkStart w:id="6" w:name="_Toc347824073"/>
      <w:bookmarkStart w:id="7" w:name="_Toc347824246"/>
      <w:bookmarkStart w:id="8" w:name="_Toc509923397"/>
      <w:r>
        <w:t xml:space="preserve">Support configuration of </w:t>
      </w:r>
      <w:bookmarkEnd w:id="2"/>
      <w:bookmarkEnd w:id="3"/>
      <w:r w:rsidR="0095469C">
        <w:t>multiple</w:t>
      </w:r>
      <w:r>
        <w:t xml:space="preserve"> SRS </w:t>
      </w:r>
      <w:r w:rsidR="00DB3845">
        <w:t xml:space="preserve">resource </w:t>
      </w:r>
      <w:r>
        <w:t>set</w:t>
      </w:r>
      <w:r w:rsidR="0095469C">
        <w:t>s</w:t>
      </w:r>
      <w:r w:rsidR="00DB3845">
        <w:t xml:space="preserve"> </w:t>
      </w:r>
      <w:r w:rsidR="001D53C4">
        <w:t>when</w:t>
      </w:r>
      <w:r w:rsidR="00DB3845">
        <w:t xml:space="preserve"> </w:t>
      </w:r>
      <w:r w:rsidR="0095469C" w:rsidRPr="00B27C67">
        <w:rPr>
          <w:i/>
        </w:rPr>
        <w:t>SRSSetUse</w:t>
      </w:r>
      <w:r w:rsidR="0095469C">
        <w:t xml:space="preserve"> = ‘antennaSwitching’ for the 1T2R, 2T4R, 1T4R (periodic/semi-persistent), and T = R cases. Note: the 1T4R (aperiodic) case is still restricted to two sets.</w:t>
      </w:r>
      <w:bookmarkEnd w:id="4"/>
    </w:p>
    <w:bookmarkEnd w:id="5"/>
    <w:bookmarkEnd w:id="6"/>
    <w:bookmarkEnd w:id="7"/>
    <w:bookmarkEnd w:id="8"/>
    <w:p w14:paraId="2237E3F3" w14:textId="6AD53885" w:rsidR="00123F8F" w:rsidRDefault="00A03165" w:rsidP="00CE0424">
      <w:pPr>
        <w:pStyle w:val="BodyText"/>
      </w:pPr>
      <w:r>
        <w:t xml:space="preserve">The following text proposal (red text) implements </w:t>
      </w:r>
      <w:r w:rsidR="00B77C5A">
        <w:t>Proposal 1.</w:t>
      </w:r>
    </w:p>
    <w:p w14:paraId="58B58EBC" w14:textId="77777777" w:rsidR="00123F8F" w:rsidRDefault="00123F8F" w:rsidP="00B27C67">
      <w:pPr>
        <w:pStyle w:val="BodyText"/>
        <w:ind w:left="567"/>
      </w:pPr>
      <w:r w:rsidRPr="00902CF3">
        <w:rPr>
          <w:highlight w:val="yellow"/>
        </w:rPr>
        <w:t>&gt;&gt;&gt; Text proposal for 38.214 Section  6.2.1.2 &gt;&gt;&gt;</w:t>
      </w:r>
    </w:p>
    <w:p w14:paraId="7DA25C84" w14:textId="77777777" w:rsidR="00123F8F" w:rsidRPr="0048482F" w:rsidRDefault="00123F8F" w:rsidP="00B27C67">
      <w:pPr>
        <w:pStyle w:val="Heading4"/>
        <w:ind w:left="1985"/>
        <w:rPr>
          <w:color w:val="000000"/>
        </w:rPr>
      </w:pPr>
      <w:bookmarkStart w:id="9" w:name="_Toc510988236"/>
      <w:r w:rsidRPr="0048482F">
        <w:rPr>
          <w:color w:val="000000"/>
        </w:rPr>
        <w:t>6.2.1.2</w:t>
      </w:r>
      <w:r w:rsidRPr="0048482F">
        <w:rPr>
          <w:color w:val="000000"/>
        </w:rPr>
        <w:tab/>
        <w:t>UE antenna switching</w:t>
      </w:r>
      <w:bookmarkEnd w:id="9"/>
    </w:p>
    <w:p w14:paraId="58C436A0" w14:textId="77777777" w:rsidR="00123F8F" w:rsidRPr="0048482F" w:rsidRDefault="00123F8F" w:rsidP="00B27C67">
      <w:pPr>
        <w:ind w:left="567"/>
        <w:rPr>
          <w:color w:val="000000"/>
          <w:lang w:val="en-US" w:eastAsia="zh-CN"/>
        </w:rPr>
      </w:pPr>
      <w:r w:rsidRPr="0048482F">
        <w:rPr>
          <w:color w:val="000000"/>
          <w:lang w:val="en-US"/>
        </w:rPr>
        <w:t xml:space="preserve">When UE antenna switching is enabled by the higher layer parameter </w:t>
      </w:r>
      <w:r w:rsidRPr="0048482F">
        <w:rPr>
          <w:i/>
          <w:color w:val="000000"/>
        </w:rPr>
        <w:t xml:space="preserve">SRS-SetUse </w:t>
      </w:r>
      <w:r w:rsidRPr="0048482F">
        <w:rPr>
          <w:color w:val="000000"/>
          <w:lang w:val="en-US"/>
        </w:rPr>
        <w:t xml:space="preserve">set as </w:t>
      </w:r>
      <w:r>
        <w:rPr>
          <w:color w:val="000000"/>
          <w:lang w:val="en-US"/>
        </w:rPr>
        <w:t>'</w:t>
      </w:r>
      <w:r w:rsidRPr="0048482F">
        <w:rPr>
          <w:color w:val="000000"/>
          <w:lang w:val="en-US"/>
        </w:rPr>
        <w:t>antenna switching</w:t>
      </w:r>
      <w:r>
        <w:rPr>
          <w:color w:val="000000"/>
          <w:lang w:val="en-US"/>
        </w:rPr>
        <w:t>'</w:t>
      </w:r>
      <w:r w:rsidRPr="0048482F">
        <w:rPr>
          <w:color w:val="000000"/>
          <w:lang w:val="en-US"/>
        </w:rPr>
        <w:t xml:space="preserve"> for a UE that supports transmit antenna switching, a UE may be configured</w:t>
      </w:r>
      <w:r w:rsidRPr="0048482F">
        <w:rPr>
          <w:rFonts w:hint="eastAsia"/>
          <w:color w:val="000000"/>
          <w:lang w:val="en-US" w:eastAsia="zh-CN"/>
        </w:rPr>
        <w:t xml:space="preserve"> </w:t>
      </w:r>
      <w:r w:rsidRPr="0048482F">
        <w:rPr>
          <w:color w:val="000000"/>
          <w:lang w:val="en-US" w:eastAsia="zh-CN"/>
        </w:rPr>
        <w:t>with one of the following configurations depending on the UE capability:</w:t>
      </w:r>
    </w:p>
    <w:p w14:paraId="7A708FEF" w14:textId="62FC8510" w:rsidR="00123F8F" w:rsidRPr="0048482F" w:rsidRDefault="00123F8F" w:rsidP="00B27C67">
      <w:pPr>
        <w:pStyle w:val="B1"/>
        <w:ind w:left="1135"/>
      </w:pPr>
      <w:r>
        <w:rPr>
          <w:rFonts w:eastAsia="MS Mincho"/>
          <w:iCs/>
          <w:lang w:val="en-US" w:eastAsia="ja-JP"/>
        </w:rPr>
        <w:t>-</w:t>
      </w:r>
      <w:r>
        <w:rPr>
          <w:rFonts w:eastAsia="MS Mincho"/>
          <w:iCs/>
          <w:lang w:val="en-US" w:eastAsia="ja-JP"/>
        </w:rPr>
        <w:tab/>
      </w:r>
      <w:r w:rsidR="0095469C">
        <w:rPr>
          <w:rFonts w:eastAsia="MS Mincho"/>
          <w:iCs/>
          <w:color w:val="FF0000"/>
          <w:lang w:val="en-US" w:eastAsia="ja-JP"/>
        </w:rPr>
        <w:t>One or more</w:t>
      </w:r>
      <w:r w:rsidR="00B77C5A">
        <w:rPr>
          <w:rFonts w:eastAsia="MS Mincho"/>
          <w:iCs/>
          <w:lang w:val="en-US" w:eastAsia="ja-JP"/>
        </w:rPr>
        <w:t xml:space="preserve"> </w:t>
      </w:r>
      <w:r w:rsidRPr="0048482F">
        <w:rPr>
          <w:rFonts w:eastAsia="MS Mincho"/>
          <w:iCs/>
          <w:lang w:val="en-US" w:eastAsia="ja-JP"/>
        </w:rPr>
        <w:t>SRS resource set</w:t>
      </w:r>
      <w:r w:rsidR="0095469C">
        <w:rPr>
          <w:rFonts w:eastAsia="MS Mincho"/>
          <w:iCs/>
          <w:color w:val="FF0000"/>
          <w:lang w:val="en-US" w:eastAsia="ja-JP"/>
        </w:rPr>
        <w:t>s</w:t>
      </w:r>
      <w:r w:rsidRPr="0048482F">
        <w:rPr>
          <w:rFonts w:eastAsia="MS Mincho"/>
          <w:iCs/>
          <w:lang w:val="en-US" w:eastAsia="ja-JP"/>
        </w:rPr>
        <w:t xml:space="preserve"> </w:t>
      </w:r>
      <w:r w:rsidR="0095469C">
        <w:rPr>
          <w:rFonts w:eastAsia="MS Mincho"/>
          <w:iCs/>
          <w:color w:val="FF0000"/>
          <w:lang w:val="en-US" w:eastAsia="ja-JP"/>
        </w:rPr>
        <w:t xml:space="preserve">each </w:t>
      </w:r>
      <w:r w:rsidRPr="0048482F">
        <w:rPr>
          <w:rFonts w:eastAsia="MS Mincho"/>
          <w:iCs/>
          <w:lang w:val="en-US" w:eastAsia="ja-JP"/>
        </w:rPr>
        <w:t xml:space="preserve">with </w:t>
      </w:r>
      <w:r w:rsidRPr="0048482F">
        <w:t xml:space="preserve">two SRS resources transmitted in different symbols, each SRS resource </w:t>
      </w:r>
      <w:r w:rsidR="00A512BF" w:rsidRPr="00A512BF">
        <w:rPr>
          <w:color w:val="FF0000"/>
        </w:rPr>
        <w:t xml:space="preserve">in a </w:t>
      </w:r>
      <w:r w:rsidR="0095469C">
        <w:rPr>
          <w:color w:val="FF0000"/>
        </w:rPr>
        <w:t xml:space="preserve">given </w:t>
      </w:r>
      <w:r w:rsidR="00A512BF" w:rsidRPr="00A512BF">
        <w:rPr>
          <w:color w:val="FF0000"/>
        </w:rPr>
        <w:t>set</w:t>
      </w:r>
      <w:r w:rsidR="00A512BF">
        <w:t xml:space="preserve"> </w:t>
      </w:r>
      <w:r w:rsidRPr="0048482F">
        <w:t>consisting of a single SRS port</w:t>
      </w:r>
      <w:r w:rsidRPr="001F3E49">
        <w:t xml:space="preserve">, and where the SRS port of the second resource </w:t>
      </w:r>
      <w:r w:rsidR="00BF6926" w:rsidRPr="00BF6926">
        <w:rPr>
          <w:color w:val="FF0000"/>
        </w:rPr>
        <w:t>in the set</w:t>
      </w:r>
      <w:r w:rsidR="00BF6926">
        <w:t xml:space="preserve"> </w:t>
      </w:r>
      <w:r w:rsidRPr="001F3E49">
        <w:t xml:space="preserve">is associated with a </w:t>
      </w:r>
      <w:r>
        <w:t>different UE antenna port than the SRS port of the first resource</w:t>
      </w:r>
      <w:r w:rsidRPr="0048482F">
        <w:t xml:space="preserve"> </w:t>
      </w:r>
      <w:r w:rsidR="0095469C">
        <w:rPr>
          <w:color w:val="FF0000"/>
        </w:rPr>
        <w:t xml:space="preserve">in the set, </w:t>
      </w:r>
      <w:r w:rsidRPr="0048482F">
        <w:t>or</w:t>
      </w:r>
    </w:p>
    <w:p w14:paraId="4B4EAEAC" w14:textId="2A22DAB0" w:rsidR="00123F8F" w:rsidRDefault="00123F8F" w:rsidP="00B27C67">
      <w:pPr>
        <w:pStyle w:val="B1"/>
        <w:ind w:left="1135"/>
        <w:rPr>
          <w:rFonts w:eastAsia="MS Mincho"/>
          <w:iCs/>
          <w:lang w:val="en-US" w:eastAsia="ja-JP"/>
        </w:rPr>
      </w:pPr>
      <w:r>
        <w:rPr>
          <w:rFonts w:eastAsia="MS Mincho"/>
          <w:iCs/>
          <w:lang w:val="en-US" w:eastAsia="ja-JP"/>
        </w:rPr>
        <w:t>-</w:t>
      </w:r>
      <w:r>
        <w:rPr>
          <w:rFonts w:eastAsia="MS Mincho"/>
          <w:iCs/>
          <w:lang w:val="en-US" w:eastAsia="ja-JP"/>
        </w:rPr>
        <w:tab/>
      </w:r>
      <w:r w:rsidR="0095469C">
        <w:rPr>
          <w:rFonts w:eastAsia="MS Mincho"/>
          <w:iCs/>
          <w:color w:val="FF0000"/>
          <w:lang w:val="en-US" w:eastAsia="ja-JP"/>
        </w:rPr>
        <w:t>One or more</w:t>
      </w:r>
      <w:r w:rsidR="00BF6926">
        <w:rPr>
          <w:rFonts w:eastAsia="MS Mincho"/>
          <w:iCs/>
          <w:lang w:val="en-US" w:eastAsia="ja-JP"/>
        </w:rPr>
        <w:t xml:space="preserve"> </w:t>
      </w:r>
      <w:r w:rsidRPr="0048482F">
        <w:rPr>
          <w:rFonts w:eastAsia="MS Mincho"/>
          <w:iCs/>
          <w:lang w:val="en-US" w:eastAsia="ja-JP"/>
        </w:rPr>
        <w:t>SRS resource set</w:t>
      </w:r>
      <w:r w:rsidR="0095469C">
        <w:rPr>
          <w:rFonts w:eastAsia="MS Mincho"/>
          <w:iCs/>
          <w:color w:val="FF0000"/>
          <w:lang w:val="en-US" w:eastAsia="ja-JP"/>
        </w:rPr>
        <w:t>s</w:t>
      </w:r>
      <w:r w:rsidRPr="0048482F">
        <w:rPr>
          <w:rFonts w:eastAsia="MS Mincho"/>
          <w:iCs/>
          <w:lang w:val="en-US" w:eastAsia="ja-JP"/>
        </w:rPr>
        <w:t xml:space="preserve"> </w:t>
      </w:r>
      <w:r w:rsidR="0095469C">
        <w:rPr>
          <w:rFonts w:eastAsia="MS Mincho"/>
          <w:iCs/>
          <w:color w:val="FF0000"/>
          <w:lang w:val="en-US" w:eastAsia="ja-JP"/>
        </w:rPr>
        <w:t xml:space="preserve">each </w:t>
      </w:r>
      <w:r w:rsidRPr="0048482F">
        <w:rPr>
          <w:rFonts w:eastAsia="MS Mincho"/>
          <w:iCs/>
          <w:lang w:val="en-US" w:eastAsia="ja-JP"/>
        </w:rPr>
        <w:t xml:space="preserve">with </w:t>
      </w:r>
      <w:r w:rsidRPr="0048482F">
        <w:t xml:space="preserve">two SRS resources transmitted in different symbols, each SRS resource </w:t>
      </w:r>
      <w:r w:rsidR="00BF6926" w:rsidRPr="00A512BF">
        <w:rPr>
          <w:color w:val="FF0000"/>
        </w:rPr>
        <w:t xml:space="preserve">in a </w:t>
      </w:r>
      <w:r w:rsidR="0095469C">
        <w:rPr>
          <w:color w:val="FF0000"/>
        </w:rPr>
        <w:t xml:space="preserve">given </w:t>
      </w:r>
      <w:r w:rsidR="00BF6926" w:rsidRPr="00A512BF">
        <w:rPr>
          <w:color w:val="FF0000"/>
        </w:rPr>
        <w:t>set</w:t>
      </w:r>
      <w:r w:rsidR="00BF6926">
        <w:t xml:space="preserve"> </w:t>
      </w:r>
      <w:r w:rsidRPr="0048482F">
        <w:t>consisting of two SRS ports</w:t>
      </w:r>
      <w:r w:rsidRPr="001F3E49">
        <w:t>, and</w:t>
      </w:r>
      <w:r w:rsidRPr="0048482F">
        <w:t xml:space="preserve"> where the </w:t>
      </w:r>
      <w:r w:rsidRPr="001F3E49">
        <w:t xml:space="preserve">SRS </w:t>
      </w:r>
      <w:r w:rsidRPr="0048482F">
        <w:t>port pair of the second resource</w:t>
      </w:r>
      <w:r w:rsidR="00BF6926" w:rsidRPr="00BF6926">
        <w:rPr>
          <w:color w:val="FF0000"/>
        </w:rPr>
        <w:t xml:space="preserve"> in the set</w:t>
      </w:r>
      <w:r w:rsidRPr="0048482F">
        <w:t xml:space="preserve"> is associated with a different UE antenna </w:t>
      </w:r>
      <w:r w:rsidRPr="001F3E49">
        <w:t xml:space="preserve">port </w:t>
      </w:r>
      <w:r w:rsidRPr="0048482F">
        <w:t xml:space="preserve">pair than the </w:t>
      </w:r>
      <w:r w:rsidRPr="001F3E49">
        <w:t xml:space="preserve">SRS </w:t>
      </w:r>
      <w:r w:rsidRPr="0048482F">
        <w:t>port pair of the first resource</w:t>
      </w:r>
      <w:r w:rsidR="0095469C">
        <w:t xml:space="preserve"> </w:t>
      </w:r>
      <w:r w:rsidR="0095469C">
        <w:rPr>
          <w:color w:val="FF0000"/>
        </w:rPr>
        <w:t>in the set</w:t>
      </w:r>
      <w:r w:rsidRPr="0048482F">
        <w:t>, or</w:t>
      </w:r>
      <w:r>
        <w:rPr>
          <w:rFonts w:eastAsia="MS Mincho"/>
          <w:iCs/>
          <w:lang w:val="en-US" w:eastAsia="ja-JP"/>
        </w:rPr>
        <w:tab/>
      </w:r>
    </w:p>
    <w:p w14:paraId="248FD739" w14:textId="35CF6080" w:rsidR="00123F8F" w:rsidRDefault="00123F8F" w:rsidP="00B27C67">
      <w:pPr>
        <w:pStyle w:val="B1"/>
        <w:ind w:left="1135"/>
      </w:pPr>
      <w:r>
        <w:rPr>
          <w:rFonts w:eastAsia="MS Mincho"/>
          <w:iCs/>
          <w:lang w:val="en-US" w:eastAsia="ja-JP"/>
        </w:rPr>
        <w:t>-</w:t>
      </w:r>
      <w:r>
        <w:rPr>
          <w:rFonts w:eastAsia="MS Mincho"/>
          <w:iCs/>
          <w:lang w:val="en-US" w:eastAsia="ja-JP"/>
        </w:rPr>
        <w:tab/>
      </w:r>
      <w:r w:rsidR="0095469C">
        <w:rPr>
          <w:rFonts w:eastAsia="MS Mincho"/>
          <w:iCs/>
          <w:color w:val="FF0000"/>
          <w:lang w:val="en-US" w:eastAsia="ja-JP"/>
        </w:rPr>
        <w:t>One or more</w:t>
      </w:r>
      <w:r w:rsidR="00BF6926">
        <w:rPr>
          <w:rFonts w:eastAsia="MS Mincho"/>
          <w:iCs/>
          <w:lang w:val="en-US" w:eastAsia="ja-JP"/>
        </w:rPr>
        <w:t xml:space="preserve"> </w:t>
      </w:r>
      <w:r w:rsidRPr="00BA30E8">
        <w:rPr>
          <w:rFonts w:eastAsia="MS Mincho"/>
          <w:iCs/>
          <w:lang w:val="en-US" w:eastAsia="ja-JP"/>
        </w:rPr>
        <w:t>SRS resource set</w:t>
      </w:r>
      <w:r w:rsidR="0095469C">
        <w:rPr>
          <w:rFonts w:eastAsia="MS Mincho"/>
          <w:iCs/>
          <w:color w:val="FF0000"/>
          <w:lang w:val="en-US" w:eastAsia="ja-JP"/>
        </w:rPr>
        <w:t>s each</w:t>
      </w:r>
      <w:r w:rsidRPr="00BA30E8">
        <w:rPr>
          <w:rFonts w:eastAsia="MS Mincho"/>
          <w:iCs/>
          <w:lang w:val="en-US" w:eastAsia="ja-JP"/>
        </w:rPr>
        <w:t xml:space="preserve"> configured with higher layer parameter </w:t>
      </w:r>
      <w:r w:rsidRPr="00BE4134">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BE4134">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‘periodic’ or ‘semi-persistent’ </w:t>
      </w:r>
      <w:r w:rsidR="0095469C">
        <w:rPr>
          <w:rFonts w:eastAsia="MS Mincho"/>
          <w:iCs/>
          <w:color w:val="FF0000"/>
          <w:lang w:val="en-US" w:eastAsia="ja-JP"/>
        </w:rPr>
        <w:t xml:space="preserve">and </w:t>
      </w:r>
      <w:r w:rsidRPr="00BA30E8">
        <w:rPr>
          <w:rFonts w:eastAsia="MS Mincho"/>
          <w:iCs/>
          <w:lang w:val="en-US" w:eastAsia="ja-JP"/>
        </w:rPr>
        <w:t xml:space="preserve">with four SRS resources transmitted in different symbols, each SRS resource </w:t>
      </w:r>
      <w:r w:rsidR="00BF6926" w:rsidRPr="00A512BF">
        <w:rPr>
          <w:color w:val="FF0000"/>
        </w:rPr>
        <w:t xml:space="preserve">in a </w:t>
      </w:r>
      <w:r w:rsidR="0095469C">
        <w:rPr>
          <w:color w:val="FF0000"/>
        </w:rPr>
        <w:t xml:space="preserve">given </w:t>
      </w:r>
      <w:r w:rsidR="00BF6926" w:rsidRPr="00A512BF">
        <w:rPr>
          <w:color w:val="FF0000"/>
        </w:rPr>
        <w:t>set</w:t>
      </w:r>
      <w:r w:rsidR="00BF6926">
        <w:t xml:space="preserve"> </w:t>
      </w:r>
      <w:r w:rsidRPr="00BA30E8">
        <w:rPr>
          <w:rFonts w:eastAsia="MS Mincho"/>
          <w:iCs/>
          <w:lang w:val="en-US" w:eastAsia="ja-JP"/>
        </w:rPr>
        <w:t>consisting of a single SRS port, and where the SRS port of each resource</w:t>
      </w:r>
      <w:r w:rsidR="00BF6926" w:rsidRPr="00BF6926">
        <w:rPr>
          <w:color w:val="FF0000"/>
        </w:rPr>
        <w:t xml:space="preserve"> in the set</w:t>
      </w:r>
      <w:r w:rsidRPr="00BA30E8">
        <w:rPr>
          <w:rFonts w:eastAsia="MS Mincho"/>
          <w:iCs/>
          <w:lang w:val="en-US" w:eastAsia="ja-JP"/>
        </w:rPr>
        <w:t xml:space="preserve"> is associated with a different UE antenna port, or</w:t>
      </w:r>
    </w:p>
    <w:p w14:paraId="3D407E46" w14:textId="53C6A846" w:rsidR="00123F8F" w:rsidRPr="007D29DE" w:rsidRDefault="00123F8F" w:rsidP="00B27C67">
      <w:pPr>
        <w:pStyle w:val="B1"/>
        <w:ind w:left="1135"/>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t</w:t>
      </w:r>
      <w:r w:rsidRPr="007D29DE">
        <w:rPr>
          <w:rFonts w:eastAsia="MS Mincho"/>
          <w:iCs/>
          <w:color w:val="000000" w:themeColor="text1"/>
          <w:lang w:val="en-US" w:eastAsia="ja-JP"/>
        </w:rPr>
        <w:t xml:space="preserve">wo SRS resource sets </w:t>
      </w:r>
      <w:r w:rsidR="00366663">
        <w:rPr>
          <w:rFonts w:eastAsia="MS Mincho"/>
          <w:iCs/>
          <w:color w:val="FF0000"/>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‘aperiodic’ </w:t>
      </w:r>
      <w:r w:rsidR="00366663">
        <w:rPr>
          <w:rFonts w:eastAsia="MS Mincho"/>
          <w:iCs/>
          <w:color w:val="FF0000"/>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sidR="00366663">
        <w:rPr>
          <w:rFonts w:eastAsia="MS Mincho"/>
          <w:iCs/>
          <w:color w:val="FF0000"/>
          <w:lang w:val="en-US" w:eastAsia="ja-JP"/>
        </w:rPr>
        <w:t xml:space="preserve">in a given set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rPr>
        <w:t>alpha</w:t>
      </w:r>
      <w:r w:rsidRPr="007D29DE">
        <w:rPr>
          <w:rFonts w:eastAsia="Malgun Gothic"/>
          <w:iCs/>
          <w:color w:val="000000" w:themeColor="text1"/>
        </w:rPr>
        <w:t xml:space="preserve">, </w:t>
      </w:r>
      <w:r w:rsidRPr="007D29DE">
        <w:rPr>
          <w:rFonts w:eastAsia="Malgun Gothic"/>
          <w:i/>
          <w:iCs/>
          <w:color w:val="000000" w:themeColor="text1"/>
        </w:rPr>
        <w:t>p0</w:t>
      </w:r>
      <w:r w:rsidRPr="007D29DE">
        <w:rPr>
          <w:rFonts w:eastAsia="Malgun Gothic"/>
          <w:iCs/>
          <w:color w:val="000000" w:themeColor="text1"/>
        </w:rPr>
        <w:t xml:space="preserve">, </w:t>
      </w:r>
      <w:r w:rsidRPr="007D29DE">
        <w:rPr>
          <w:rFonts w:eastAsia="Malgun Gothic"/>
          <w:i/>
          <w:iCs/>
          <w:color w:val="000000" w:themeColor="text1"/>
        </w:rPr>
        <w:t>pathlossReferenceRS</w:t>
      </w:r>
      <w:r w:rsidRPr="007D29DE">
        <w:rPr>
          <w:rFonts w:eastAsia="Malgun Gothic"/>
          <w:iCs/>
          <w:color w:val="000000" w:themeColor="text1"/>
        </w:rPr>
        <w:t xml:space="preserve">, and </w:t>
      </w:r>
      <w:r w:rsidRPr="007D29DE">
        <w:rPr>
          <w:rFonts w:eastAsia="Malgun Gothic"/>
          <w:i/>
          <w:iCs/>
          <w:color w:val="000000" w:themeColor="text1"/>
        </w:rPr>
        <w:t xml:space="preserve">srs-PowerControlAdjustmentStates </w:t>
      </w:r>
      <w:r>
        <w:rPr>
          <w:rFonts w:eastAsia="Malgun Gothic"/>
          <w:iCs/>
          <w:color w:val="000000" w:themeColor="text1"/>
        </w:rPr>
        <w:t>in</w:t>
      </w:r>
      <w:r w:rsidRPr="007D29DE">
        <w:rPr>
          <w:rFonts w:eastAsia="Malgun Gothic"/>
          <w:i/>
          <w:iCs/>
          <w:color w:val="000000" w:themeColor="text1"/>
        </w:rPr>
        <w:t xml:space="preserve"> SRS-</w:t>
      </w:r>
      <w:r>
        <w:rPr>
          <w:rFonts w:eastAsia="Malgun Gothic"/>
          <w:i/>
          <w:iCs/>
          <w:color w:val="000000" w:themeColor="text1"/>
        </w:rPr>
        <w:t>ResourceSet</w:t>
      </w:r>
      <w:r w:rsidRPr="007D29DE">
        <w:rPr>
          <w:rFonts w:eastAsia="Malgun Gothic"/>
          <w:iCs/>
          <w:color w:val="000000" w:themeColor="text1"/>
        </w:rPr>
        <w:t xml:space="preserve">. Or, </w:t>
      </w:r>
    </w:p>
    <w:p w14:paraId="6E3911BA" w14:textId="3003EA43" w:rsidR="00123F8F" w:rsidRPr="007D29DE" w:rsidRDefault="00123F8F" w:rsidP="00B27C67">
      <w:pPr>
        <w:pStyle w:val="B1"/>
        <w:ind w:left="1135"/>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366663">
        <w:rPr>
          <w:rFonts w:eastAsia="MS Mincho"/>
          <w:iCs/>
          <w:color w:val="FF0000"/>
          <w:lang w:val="en-US" w:eastAsia="ja-JP"/>
        </w:rPr>
        <w:t>One or more</w:t>
      </w:r>
      <w:r w:rsidR="00BF6926">
        <w:rPr>
          <w:rFonts w:eastAsia="MS Mincho"/>
          <w:iCs/>
          <w:lang w:val="en-US" w:eastAsia="ja-JP"/>
        </w:rPr>
        <w:t xml:space="preserve"> </w:t>
      </w:r>
      <w:r w:rsidRPr="007D29DE">
        <w:rPr>
          <w:rFonts w:eastAsia="MS Mincho"/>
          <w:iCs/>
          <w:color w:val="000000" w:themeColor="text1"/>
          <w:lang w:val="en-US" w:eastAsia="ja-JP"/>
        </w:rPr>
        <w:t>SRS resource set</w:t>
      </w:r>
      <w:r w:rsidR="00366663">
        <w:rPr>
          <w:rFonts w:eastAsia="MS Mincho"/>
          <w:iCs/>
          <w:color w:val="FF0000"/>
          <w:lang w:val="en-US" w:eastAsia="ja-JP"/>
        </w:rPr>
        <w:t>s</w:t>
      </w:r>
      <w:r w:rsidRPr="007D29DE">
        <w:rPr>
          <w:rFonts w:eastAsia="MS Mincho"/>
          <w:iCs/>
          <w:color w:val="000000" w:themeColor="text1"/>
          <w:lang w:val="en-US" w:eastAsia="ja-JP"/>
        </w:rPr>
        <w:t xml:space="preserve"> </w:t>
      </w:r>
      <w:r w:rsidR="00366663">
        <w:rPr>
          <w:rFonts w:eastAsia="MS Mincho"/>
          <w:iCs/>
          <w:color w:val="FF0000"/>
          <w:lang w:val="en-US" w:eastAsia="ja-JP"/>
        </w:rPr>
        <w:t xml:space="preserve">each </w:t>
      </w:r>
      <w:r w:rsidRPr="007D29DE">
        <w:rPr>
          <w:rFonts w:eastAsia="MS Mincho"/>
          <w:iCs/>
          <w:color w:val="000000" w:themeColor="text1"/>
          <w:lang w:val="en-US" w:eastAsia="ja-JP"/>
        </w:rPr>
        <w:t xml:space="preserve">with one SRS resource, where the number of SRS ports </w:t>
      </w:r>
      <w:r w:rsidR="00366663">
        <w:rPr>
          <w:rFonts w:eastAsia="MS Mincho"/>
          <w:iCs/>
          <w:color w:val="FF0000"/>
          <w:lang w:val="en-US" w:eastAsia="ja-JP"/>
        </w:rPr>
        <w:t xml:space="preserve">for each resource </w:t>
      </w:r>
      <w:r w:rsidRPr="007D29DE">
        <w:rPr>
          <w:rFonts w:eastAsia="MS Mincho"/>
          <w:iCs/>
          <w:color w:val="000000" w:themeColor="text1"/>
          <w:lang w:val="en-US" w:eastAsia="ja-JP"/>
        </w:rPr>
        <w:t>is equal to 1, 2, or 4</w:t>
      </w:r>
    </w:p>
    <w:p w14:paraId="3039FA96" w14:textId="6238DE4A" w:rsidR="00123F8F" w:rsidRPr="00123F8F" w:rsidRDefault="00123F8F" w:rsidP="00B27C67">
      <w:pPr>
        <w:pStyle w:val="BodyText"/>
        <w:ind w:left="567"/>
        <w:rPr>
          <w:highlight w:val="yellow"/>
        </w:rPr>
      </w:pPr>
      <w:r w:rsidRPr="00902CF3">
        <w:rPr>
          <w:highlight w:val="yellow"/>
        </w:rPr>
        <w:t>&gt;&gt;&gt; End text proposal &gt;&gt;&gt;</w:t>
      </w:r>
    </w:p>
    <w:p w14:paraId="7EB72B72" w14:textId="764D30E9" w:rsidR="00DF4CF5" w:rsidRDefault="00F26747" w:rsidP="00F26747">
      <w:pPr>
        <w:pStyle w:val="Heading2"/>
      </w:pPr>
      <w:r>
        <w:t>2.2 Aperiodic triggering for 1T4R</w:t>
      </w:r>
    </w:p>
    <w:p w14:paraId="0A5A4D10" w14:textId="0C73D746" w:rsidR="00EC1108" w:rsidRDefault="00EC1108" w:rsidP="00B27C67">
      <w:pPr>
        <w:pStyle w:val="BodyText"/>
      </w:pPr>
      <w:r>
        <w:t xml:space="preserve">Another FFS item is with regards to possible ambiguity if the two SRS resource sets for the case of 1T4R with aperiodic SRS are triggered by two separate DCIs. In our view, it is much simpler, and less error prone, to enforce that both resource sets are triggered with the same DCI. </w:t>
      </w:r>
      <w:r w:rsidR="00500E39">
        <w:t xml:space="preserve">This is easily achieved by enforcing that the two SRS resource sets are configured with the same value of the IE </w:t>
      </w:r>
      <w:r w:rsidR="00500E39" w:rsidRPr="00163AF2">
        <w:rPr>
          <w:i/>
          <w:iCs/>
        </w:rPr>
        <w:t>aperiodicSRS-ResourceTrigger</w:t>
      </w:r>
      <w:r w:rsidR="00500E39">
        <w:rPr>
          <w:i/>
          <w:iCs/>
        </w:rPr>
        <w:t xml:space="preserve"> </w:t>
      </w:r>
      <w:r w:rsidR="00500E39" w:rsidRPr="00B27C67">
        <w:rPr>
          <w:iCs/>
        </w:rPr>
        <w:t>within the</w:t>
      </w:r>
      <w:r w:rsidR="00500E39">
        <w:rPr>
          <w:i/>
          <w:iCs/>
        </w:rPr>
        <w:t xml:space="preserve"> SRS-ResourceSet</w:t>
      </w:r>
      <w:r w:rsidR="00500E39" w:rsidRPr="00B27C67">
        <w:rPr>
          <w:iCs/>
        </w:rPr>
        <w:t xml:space="preserve"> IE</w:t>
      </w:r>
      <w:r w:rsidR="00500E39">
        <w:rPr>
          <w:i/>
          <w:iCs/>
        </w:rPr>
        <w:t>.</w:t>
      </w:r>
    </w:p>
    <w:p w14:paraId="36086E2B" w14:textId="7C3E36A8" w:rsidR="00EC1108" w:rsidRPr="00A00FE3" w:rsidRDefault="00500E39" w:rsidP="00B27C67">
      <w:pPr>
        <w:pStyle w:val="Proposal"/>
      </w:pPr>
      <w:bookmarkStart w:id="10" w:name="_Toc513793189"/>
      <w:r>
        <w:t xml:space="preserve">For </w:t>
      </w:r>
      <w:r w:rsidRPr="00B27C67">
        <w:rPr>
          <w:i/>
        </w:rPr>
        <w:t>SRS-SetUse</w:t>
      </w:r>
      <w:r>
        <w:t xml:space="preserve"> = ‘antennaSwitching’ </w:t>
      </w:r>
      <w:r w:rsidR="00A00FE3">
        <w:t>with</w:t>
      </w:r>
      <w:r>
        <w:t xml:space="preserve"> 1T4R antenna switching based on aperiodic SRS</w:t>
      </w:r>
      <w:r w:rsidR="00A00FE3">
        <w:t xml:space="preserve"> resources</w:t>
      </w:r>
      <w:r>
        <w:t xml:space="preserve">, </w:t>
      </w:r>
      <w:r w:rsidR="00A00FE3">
        <w:t xml:space="preserve">the UE shall expect that </w:t>
      </w:r>
      <w:r>
        <w:t xml:space="preserve">the two SRS resource sets are configured with the same value of </w:t>
      </w:r>
      <w:r w:rsidR="00A00FE3" w:rsidRPr="00163AF2">
        <w:rPr>
          <w:i/>
          <w:iCs/>
        </w:rPr>
        <w:t>aperiodicSRS-ResourceTrigger</w:t>
      </w:r>
      <w:r w:rsidR="00A00FE3">
        <w:rPr>
          <w:i/>
          <w:iCs/>
        </w:rPr>
        <w:t xml:space="preserve"> </w:t>
      </w:r>
      <w:r w:rsidR="00A00FE3" w:rsidRPr="00FE4A32">
        <w:rPr>
          <w:iCs/>
        </w:rPr>
        <w:t>within the</w:t>
      </w:r>
      <w:r w:rsidR="00A00FE3">
        <w:rPr>
          <w:i/>
          <w:iCs/>
        </w:rPr>
        <w:t xml:space="preserve"> SRS-ResourceSet</w:t>
      </w:r>
      <w:r w:rsidR="00A00FE3" w:rsidRPr="00FE4A32">
        <w:rPr>
          <w:iCs/>
        </w:rPr>
        <w:t xml:space="preserve"> IE</w:t>
      </w:r>
      <w:r w:rsidR="00A00FE3">
        <w:rPr>
          <w:iCs/>
        </w:rPr>
        <w:t>.</w:t>
      </w:r>
      <w:bookmarkEnd w:id="10"/>
    </w:p>
    <w:p w14:paraId="0C6CD312" w14:textId="190C59E9" w:rsidR="00F26747" w:rsidRDefault="00F26747" w:rsidP="00F26747">
      <w:pPr>
        <w:pStyle w:val="Heading2"/>
      </w:pPr>
      <w:r>
        <w:lastRenderedPageBreak/>
        <w:t>2.3 Guard time for 1T4R</w:t>
      </w:r>
    </w:p>
    <w:p w14:paraId="09E1F97E" w14:textId="2CF2E84B" w:rsidR="00A00FE3" w:rsidRDefault="00A00FE3" w:rsidP="00A00FE3">
      <w:pPr>
        <w:pStyle w:val="BodyText"/>
      </w:pPr>
      <w:r>
        <w:t>Since 1T4R antenna switching requires that the 4 resources are configured in two different slots, it is possible that in the second slot the UE is required to switch to a different antenna from the one currently used for PUSCH (or PUCCH) transmission, if these UL channel(s) are transmitted in the 2</w:t>
      </w:r>
      <w:r w:rsidRPr="00B27C67">
        <w:rPr>
          <w:vertAlign w:val="superscript"/>
        </w:rPr>
        <w:t>nd</w:t>
      </w:r>
      <w:r>
        <w:t xml:space="preserve"> slot. This requires that a guard symbol be inserted between PUSCH/PUCCH and the first symbol of SRS to allow sufficient time for antenna switching. Such guard times have already been introduced in the spec for SRS resources within the same slot, but so far, there is no specification for the 2</w:t>
      </w:r>
      <w:r w:rsidRPr="00B27C67">
        <w:rPr>
          <w:vertAlign w:val="superscript"/>
        </w:rPr>
        <w:t>nd</w:t>
      </w:r>
      <w:r>
        <w:t xml:space="preserve"> slot when 1T4R </w:t>
      </w:r>
      <w:r w:rsidR="00D4602E">
        <w:t>switching case. Hence we propose</w:t>
      </w:r>
    </w:p>
    <w:p w14:paraId="7DC64CE0" w14:textId="653CFCEA" w:rsidR="00D4602E" w:rsidRPr="00A00FE3" w:rsidRDefault="00D4602E" w:rsidP="00B27C67">
      <w:pPr>
        <w:pStyle w:val="Proposal"/>
      </w:pPr>
      <w:bookmarkStart w:id="11" w:name="_Toc513793190"/>
      <w:r>
        <w:t>For 1T4R antenna switching if PUSCH or PUCCH is transmitted in the OFDM symbols prior to the SRS resource(s) in the 2</w:t>
      </w:r>
      <w:r w:rsidRPr="00B27C67">
        <w:rPr>
          <w:vertAlign w:val="superscript"/>
        </w:rPr>
        <w:t>nd</w:t>
      </w:r>
      <w:r>
        <w:t xml:space="preserve"> configured slot, introduce a guard symbol prior to the transmission of the first SRS resource in the slot.</w:t>
      </w:r>
      <w:bookmarkEnd w:id="11"/>
    </w:p>
    <w:p w14:paraId="5300F849" w14:textId="77777777" w:rsidR="00C01F33" w:rsidRPr="00CE0424" w:rsidRDefault="00C01F33" w:rsidP="00CE0424">
      <w:pPr>
        <w:pStyle w:val="Heading1"/>
      </w:pPr>
      <w:r w:rsidRPr="00CE0424">
        <w:t>Conclusion</w:t>
      </w:r>
    </w:p>
    <w:p w14:paraId="794463A9" w14:textId="77777777" w:rsidR="00D4602E" w:rsidRDefault="00DF4CF5" w:rsidP="006E1C82">
      <w:pPr>
        <w:pStyle w:val="BodyText"/>
      </w:pPr>
      <w:r>
        <w:t>In this contribution, we made the following propos</w:t>
      </w:r>
      <w:r w:rsidR="00D4602E">
        <w:t>als:</w:t>
      </w:r>
    </w:p>
    <w:p w14:paraId="2D16BC24" w14:textId="77777777" w:rsidR="00D4602E" w:rsidRPr="00B27C67" w:rsidRDefault="00D4602E" w:rsidP="00D4602E">
      <w:pPr>
        <w:pStyle w:val="TOC1"/>
        <w:tabs>
          <w:tab w:val="left" w:pos="1710"/>
        </w:tabs>
        <w:ind w:left="1710" w:hanging="1710"/>
        <w:rPr>
          <w:rFonts w:ascii="Arial" w:eastAsiaTheme="minorEastAsia" w:hAnsi="Arial" w:cs="Arial"/>
          <w:b/>
          <w:sz w:val="20"/>
          <w:lang w:val="en-US" w:eastAsia="en-US"/>
        </w:rPr>
      </w:pPr>
      <w:r w:rsidRPr="00B27C67">
        <w:rPr>
          <w:rFonts w:ascii="Arial" w:hAnsi="Arial" w:cs="Arial"/>
          <w:b/>
          <w:sz w:val="20"/>
        </w:rPr>
        <w:fldChar w:fldCharType="begin"/>
      </w:r>
      <w:r w:rsidRPr="00B27C67">
        <w:rPr>
          <w:rFonts w:ascii="Arial" w:hAnsi="Arial" w:cs="Arial"/>
          <w:b/>
          <w:sz w:val="20"/>
        </w:rPr>
        <w:instrText xml:space="preserve"> TOC \n \t "Proposal,1" </w:instrText>
      </w:r>
      <w:r w:rsidRPr="00B27C67">
        <w:rPr>
          <w:rFonts w:ascii="Arial" w:hAnsi="Arial" w:cs="Arial"/>
          <w:b/>
          <w:sz w:val="20"/>
        </w:rPr>
        <w:fldChar w:fldCharType="separate"/>
      </w:r>
      <w:r w:rsidRPr="00B27C67">
        <w:rPr>
          <w:rFonts w:ascii="Arial" w:hAnsi="Arial" w:cs="Arial"/>
          <w:b/>
          <w:sz w:val="20"/>
        </w:rPr>
        <w:t>Proposal 1</w:t>
      </w:r>
      <w:r w:rsidRPr="00B27C67">
        <w:rPr>
          <w:rFonts w:ascii="Arial" w:eastAsiaTheme="minorEastAsia" w:hAnsi="Arial" w:cs="Arial"/>
          <w:b/>
          <w:sz w:val="20"/>
          <w:lang w:val="en-US" w:eastAsia="en-US"/>
        </w:rPr>
        <w:tab/>
      </w:r>
      <w:r w:rsidRPr="00B27C67">
        <w:rPr>
          <w:rFonts w:ascii="Arial" w:hAnsi="Arial" w:cs="Arial"/>
          <w:b/>
          <w:sz w:val="20"/>
        </w:rPr>
        <w:t xml:space="preserve">Support configuration of multiple SRS resource sets when </w:t>
      </w:r>
      <w:r w:rsidRPr="00B27C67">
        <w:rPr>
          <w:rFonts w:ascii="Arial" w:hAnsi="Arial" w:cs="Arial"/>
          <w:b/>
          <w:i/>
          <w:sz w:val="20"/>
        </w:rPr>
        <w:t>SRSSetUse</w:t>
      </w:r>
      <w:r w:rsidRPr="00B27C67">
        <w:rPr>
          <w:rFonts w:ascii="Arial" w:hAnsi="Arial" w:cs="Arial"/>
          <w:b/>
          <w:sz w:val="20"/>
        </w:rPr>
        <w:t xml:space="preserve"> = ‘antennaSwitching’ for the 1T2R, 2T4R, 1T4R (periodic/semi-persistent), and T = R cases. Note: the 1T4R (aperiodic) case is still restricted to two sets.</w:t>
      </w:r>
    </w:p>
    <w:p w14:paraId="5C3C727D" w14:textId="77777777" w:rsidR="00D4602E" w:rsidRPr="00B27C67" w:rsidRDefault="00D4602E" w:rsidP="00D4602E">
      <w:pPr>
        <w:pStyle w:val="TOC1"/>
        <w:tabs>
          <w:tab w:val="left" w:pos="1710"/>
        </w:tabs>
        <w:ind w:left="1710" w:hanging="1710"/>
        <w:rPr>
          <w:rFonts w:ascii="Arial" w:eastAsiaTheme="minorEastAsia" w:hAnsi="Arial" w:cs="Arial"/>
          <w:b/>
          <w:sz w:val="20"/>
          <w:lang w:val="en-US" w:eastAsia="en-US"/>
        </w:rPr>
      </w:pPr>
      <w:r w:rsidRPr="00B27C67">
        <w:rPr>
          <w:rFonts w:ascii="Arial" w:hAnsi="Arial" w:cs="Arial"/>
          <w:b/>
          <w:sz w:val="20"/>
        </w:rPr>
        <w:t>Proposal 2</w:t>
      </w:r>
      <w:r w:rsidRPr="00B27C67">
        <w:rPr>
          <w:rFonts w:ascii="Arial" w:eastAsiaTheme="minorEastAsia" w:hAnsi="Arial" w:cs="Arial"/>
          <w:b/>
          <w:sz w:val="20"/>
          <w:lang w:val="en-US" w:eastAsia="en-US"/>
        </w:rPr>
        <w:tab/>
      </w:r>
      <w:r w:rsidRPr="00B27C67">
        <w:rPr>
          <w:rFonts w:ascii="Arial" w:hAnsi="Arial" w:cs="Arial"/>
          <w:b/>
          <w:sz w:val="20"/>
        </w:rPr>
        <w:t xml:space="preserve">For </w:t>
      </w:r>
      <w:r w:rsidRPr="00B27C67">
        <w:rPr>
          <w:rFonts w:ascii="Arial" w:hAnsi="Arial" w:cs="Arial"/>
          <w:b/>
          <w:i/>
          <w:sz w:val="20"/>
        </w:rPr>
        <w:t>SRS-SetUse</w:t>
      </w:r>
      <w:r w:rsidRPr="00B27C67">
        <w:rPr>
          <w:rFonts w:ascii="Arial" w:hAnsi="Arial" w:cs="Arial"/>
          <w:b/>
          <w:sz w:val="20"/>
        </w:rPr>
        <w:t xml:space="preserve"> = ‘antennaSwitching’ with 1T4R antenna switching based on aperiodic SRS resources, the UE shall expect that the two SRS resource sets are configured with the same value of </w:t>
      </w:r>
      <w:r w:rsidRPr="00B27C67">
        <w:rPr>
          <w:rFonts w:ascii="Arial" w:hAnsi="Arial" w:cs="Arial"/>
          <w:b/>
          <w:i/>
          <w:iCs/>
          <w:sz w:val="20"/>
        </w:rPr>
        <w:t xml:space="preserve">aperiodicSRS-ResourceTrigger </w:t>
      </w:r>
      <w:r w:rsidRPr="00B27C67">
        <w:rPr>
          <w:rFonts w:ascii="Arial" w:hAnsi="Arial" w:cs="Arial"/>
          <w:b/>
          <w:iCs/>
          <w:sz w:val="20"/>
        </w:rPr>
        <w:t>within the</w:t>
      </w:r>
      <w:r w:rsidRPr="00B27C67">
        <w:rPr>
          <w:rFonts w:ascii="Arial" w:hAnsi="Arial" w:cs="Arial"/>
          <w:b/>
          <w:i/>
          <w:iCs/>
          <w:sz w:val="20"/>
        </w:rPr>
        <w:t xml:space="preserve"> SRS-ResourceSet</w:t>
      </w:r>
      <w:r w:rsidRPr="00B27C67">
        <w:rPr>
          <w:rFonts w:ascii="Arial" w:hAnsi="Arial" w:cs="Arial"/>
          <w:b/>
          <w:iCs/>
          <w:sz w:val="20"/>
        </w:rPr>
        <w:t xml:space="preserve"> IE.</w:t>
      </w:r>
    </w:p>
    <w:p w14:paraId="16011535" w14:textId="77777777" w:rsidR="00D4602E" w:rsidRPr="00B27C67" w:rsidRDefault="00D4602E" w:rsidP="00D4602E">
      <w:pPr>
        <w:pStyle w:val="TOC1"/>
        <w:tabs>
          <w:tab w:val="left" w:pos="1710"/>
        </w:tabs>
        <w:ind w:left="1710" w:hanging="1710"/>
        <w:rPr>
          <w:rFonts w:ascii="Arial" w:eastAsiaTheme="minorEastAsia" w:hAnsi="Arial" w:cs="Arial"/>
          <w:b/>
          <w:sz w:val="20"/>
          <w:lang w:val="en-US" w:eastAsia="en-US"/>
        </w:rPr>
      </w:pPr>
      <w:r w:rsidRPr="00B27C67">
        <w:rPr>
          <w:rFonts w:ascii="Arial" w:hAnsi="Arial" w:cs="Arial"/>
          <w:b/>
          <w:sz w:val="20"/>
        </w:rPr>
        <w:t>Proposal 3</w:t>
      </w:r>
      <w:r w:rsidRPr="00B27C67">
        <w:rPr>
          <w:rFonts w:ascii="Arial" w:eastAsiaTheme="minorEastAsia" w:hAnsi="Arial" w:cs="Arial"/>
          <w:b/>
          <w:sz w:val="20"/>
          <w:lang w:val="en-US" w:eastAsia="en-US"/>
        </w:rPr>
        <w:tab/>
      </w:r>
      <w:r w:rsidRPr="00B27C67">
        <w:rPr>
          <w:rFonts w:ascii="Arial" w:hAnsi="Arial" w:cs="Arial"/>
          <w:b/>
          <w:sz w:val="20"/>
        </w:rPr>
        <w:t>For 1T4R antenna switching if PUSCH or PUCCH is transmitted in the OFDM symbols prior to the SRS resource(s) in the 2</w:t>
      </w:r>
      <w:r w:rsidRPr="00B27C67">
        <w:rPr>
          <w:rFonts w:ascii="Arial" w:hAnsi="Arial" w:cs="Arial"/>
          <w:b/>
          <w:sz w:val="20"/>
          <w:vertAlign w:val="superscript"/>
        </w:rPr>
        <w:t>nd</w:t>
      </w:r>
      <w:r w:rsidRPr="00B27C67">
        <w:rPr>
          <w:rFonts w:ascii="Arial" w:hAnsi="Arial" w:cs="Arial"/>
          <w:b/>
          <w:sz w:val="20"/>
        </w:rPr>
        <w:t xml:space="preserve"> configured slot, introduce a guard symbol prior to the transmission of the first SRS resource in the slot.</w:t>
      </w:r>
    </w:p>
    <w:p w14:paraId="658BB609" w14:textId="5B1ED016" w:rsidR="00D4602E" w:rsidRDefault="00D4602E" w:rsidP="00D4602E">
      <w:pPr>
        <w:pStyle w:val="BodyText"/>
        <w:tabs>
          <w:tab w:val="left" w:pos="1710"/>
        </w:tabs>
        <w:ind w:left="1710" w:hanging="1710"/>
      </w:pPr>
      <w:r w:rsidRPr="00B27C67">
        <w:rPr>
          <w:rFonts w:cs="Arial"/>
          <w:b/>
        </w:rPr>
        <w:fldChar w:fldCharType="end"/>
      </w:r>
    </w:p>
    <w:p w14:paraId="7203AEF7" w14:textId="77777777" w:rsidR="00F507D1" w:rsidRPr="00CE0424" w:rsidRDefault="00F507D1" w:rsidP="00CE0424">
      <w:pPr>
        <w:pStyle w:val="Heading1"/>
      </w:pPr>
      <w:bookmarkStart w:id="12" w:name="_In-sequence_SDU_delivery"/>
      <w:bookmarkEnd w:id="12"/>
      <w:r w:rsidRPr="00CE0424">
        <w:t>References</w:t>
      </w:r>
    </w:p>
    <w:p w14:paraId="0034D3CC" w14:textId="34FE38EA" w:rsidR="003A7EF3" w:rsidRPr="00CE0424" w:rsidRDefault="0020268F" w:rsidP="00CE0424">
      <w:pPr>
        <w:pStyle w:val="Reference"/>
      </w:pPr>
      <w:bookmarkStart w:id="13" w:name="_Ref174151459"/>
      <w:bookmarkStart w:id="14" w:name="_Ref189809556"/>
      <w:bookmarkStart w:id="15" w:name="_Ref510109421"/>
      <w:bookmarkStart w:id="16" w:name="_Ref513788542"/>
      <w:r w:rsidRPr="007C2FC0">
        <w:t>R1-180</w:t>
      </w:r>
      <w:r>
        <w:t>5796</w:t>
      </w:r>
      <w:r w:rsidRPr="007C2FC0">
        <w:t>, “</w:t>
      </w:r>
      <w:r w:rsidRPr="002319F2">
        <w:rPr>
          <w:noProof/>
        </w:rPr>
        <w:t>CR to 38.2</w:t>
      </w:r>
      <w:r>
        <w:rPr>
          <w:noProof/>
        </w:rPr>
        <w:t>14</w:t>
      </w:r>
      <w:r w:rsidRPr="002319F2">
        <w:rPr>
          <w:noProof/>
        </w:rPr>
        <w:t xml:space="preserve"> capturing the </w:t>
      </w:r>
      <w:r>
        <w:rPr>
          <w:noProof/>
        </w:rPr>
        <w:t xml:space="preserve">RAN1#92bis </w:t>
      </w:r>
      <w:r w:rsidRPr="002319F2">
        <w:rPr>
          <w:noProof/>
        </w:rPr>
        <w:t>meeting agreements</w:t>
      </w:r>
      <w:r w:rsidRPr="007C2FC0">
        <w:t xml:space="preserve">,” </w:t>
      </w:r>
      <w:r>
        <w:t>Nokia, RAN1#92bis, April</w:t>
      </w:r>
      <w:r w:rsidRPr="007C2FC0">
        <w:t xml:space="preserve"> 2018.</w:t>
      </w:r>
      <w:bookmarkEnd w:id="13"/>
      <w:bookmarkEnd w:id="14"/>
      <w:bookmarkEnd w:id="15"/>
      <w:bookmarkEnd w:id="16"/>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BCDEC" w14:textId="77777777" w:rsidR="00040234" w:rsidRDefault="00040234">
      <w:r>
        <w:separator/>
      </w:r>
    </w:p>
  </w:endnote>
  <w:endnote w:type="continuationSeparator" w:id="0">
    <w:p w14:paraId="7196DAA9" w14:textId="77777777" w:rsidR="00040234" w:rsidRDefault="0004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17380A84" w:rsidR="00A00FE3" w:rsidRDefault="00A00F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5F0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5F0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B822B" w14:textId="77777777" w:rsidR="00040234" w:rsidRDefault="00040234">
      <w:r>
        <w:separator/>
      </w:r>
    </w:p>
  </w:footnote>
  <w:footnote w:type="continuationSeparator" w:id="0">
    <w:p w14:paraId="71A8DF1D" w14:textId="77777777" w:rsidR="00040234" w:rsidRDefault="00040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A00FE3" w:rsidRDefault="00A00F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10"/>
  </w:num>
  <w:num w:numId="24">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2618E"/>
    <w:rsid w:val="000325B8"/>
    <w:rsid w:val="00034C15"/>
    <w:rsid w:val="00036BA1"/>
    <w:rsid w:val="00040234"/>
    <w:rsid w:val="000422E2"/>
    <w:rsid w:val="00042F22"/>
    <w:rsid w:val="000444EF"/>
    <w:rsid w:val="00046AD1"/>
    <w:rsid w:val="00052A07"/>
    <w:rsid w:val="000534E3"/>
    <w:rsid w:val="0005606A"/>
    <w:rsid w:val="00057117"/>
    <w:rsid w:val="000616E7"/>
    <w:rsid w:val="0006487E"/>
    <w:rsid w:val="00065E1A"/>
    <w:rsid w:val="00077E5F"/>
    <w:rsid w:val="0008036A"/>
    <w:rsid w:val="00080A11"/>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C7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8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4DCA"/>
    <w:rsid w:val="001B5A5D"/>
    <w:rsid w:val="001C1CE5"/>
    <w:rsid w:val="001C3D2A"/>
    <w:rsid w:val="001D51BA"/>
    <w:rsid w:val="001D53C4"/>
    <w:rsid w:val="001D53E7"/>
    <w:rsid w:val="001D6342"/>
    <w:rsid w:val="001D6D53"/>
    <w:rsid w:val="001E58E2"/>
    <w:rsid w:val="001E7AED"/>
    <w:rsid w:val="001F3916"/>
    <w:rsid w:val="001F54C5"/>
    <w:rsid w:val="001F662C"/>
    <w:rsid w:val="001F7074"/>
    <w:rsid w:val="00200490"/>
    <w:rsid w:val="00201F3A"/>
    <w:rsid w:val="0020268F"/>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3CD"/>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419"/>
    <w:rsid w:val="00346DB5"/>
    <w:rsid w:val="003477B1"/>
    <w:rsid w:val="00357380"/>
    <w:rsid w:val="003602D9"/>
    <w:rsid w:val="003604CE"/>
    <w:rsid w:val="00366663"/>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F5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761D"/>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09F2"/>
    <w:rsid w:val="004D36B1"/>
    <w:rsid w:val="004D7EBD"/>
    <w:rsid w:val="004E2680"/>
    <w:rsid w:val="004E28F9"/>
    <w:rsid w:val="004E462E"/>
    <w:rsid w:val="004E56DC"/>
    <w:rsid w:val="004E76F4"/>
    <w:rsid w:val="004F0B4E"/>
    <w:rsid w:val="004F0B6C"/>
    <w:rsid w:val="004F2078"/>
    <w:rsid w:val="004F4DA3"/>
    <w:rsid w:val="00500E39"/>
    <w:rsid w:val="00506557"/>
    <w:rsid w:val="0050677A"/>
    <w:rsid w:val="005108D8"/>
    <w:rsid w:val="005116F9"/>
    <w:rsid w:val="005153A7"/>
    <w:rsid w:val="005219CF"/>
    <w:rsid w:val="00534B59"/>
    <w:rsid w:val="00536759"/>
    <w:rsid w:val="00537C62"/>
    <w:rsid w:val="00546970"/>
    <w:rsid w:val="00554E19"/>
    <w:rsid w:val="0056121F"/>
    <w:rsid w:val="0056486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37D"/>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837"/>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18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311"/>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2516"/>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69C"/>
    <w:rsid w:val="00955F0F"/>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0FE3"/>
    <w:rsid w:val="00A03165"/>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2BF"/>
    <w:rsid w:val="00A52E1D"/>
    <w:rsid w:val="00A61499"/>
    <w:rsid w:val="00A61964"/>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783"/>
    <w:rsid w:val="00AC2ECD"/>
    <w:rsid w:val="00AC3119"/>
    <w:rsid w:val="00AC49FB"/>
    <w:rsid w:val="00AC5A10"/>
    <w:rsid w:val="00AD0AA3"/>
    <w:rsid w:val="00AD2ED0"/>
    <w:rsid w:val="00AD3F94"/>
    <w:rsid w:val="00AD4A5A"/>
    <w:rsid w:val="00AE27AC"/>
    <w:rsid w:val="00AE40E0"/>
    <w:rsid w:val="00AE4DBA"/>
    <w:rsid w:val="00AE4F07"/>
    <w:rsid w:val="00AE62FC"/>
    <w:rsid w:val="00AF1C5D"/>
    <w:rsid w:val="00AF42D7"/>
    <w:rsid w:val="00B006FE"/>
    <w:rsid w:val="00B007CB"/>
    <w:rsid w:val="00B02AA9"/>
    <w:rsid w:val="00B02FA3"/>
    <w:rsid w:val="00B05084"/>
    <w:rsid w:val="00B157F9"/>
    <w:rsid w:val="00B20256"/>
    <w:rsid w:val="00B20D09"/>
    <w:rsid w:val="00B2763F"/>
    <w:rsid w:val="00B27AAC"/>
    <w:rsid w:val="00B27C67"/>
    <w:rsid w:val="00B30929"/>
    <w:rsid w:val="00B372AA"/>
    <w:rsid w:val="00B40445"/>
    <w:rsid w:val="00B409E0"/>
    <w:rsid w:val="00B41888"/>
    <w:rsid w:val="00B41982"/>
    <w:rsid w:val="00B45A52"/>
    <w:rsid w:val="00B46175"/>
    <w:rsid w:val="00B53A9B"/>
    <w:rsid w:val="00B548B7"/>
    <w:rsid w:val="00B664C7"/>
    <w:rsid w:val="00B739F6"/>
    <w:rsid w:val="00B77C5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92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40ED"/>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02E"/>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3845"/>
    <w:rsid w:val="00DC2D36"/>
    <w:rsid w:val="00DC53EF"/>
    <w:rsid w:val="00DE5608"/>
    <w:rsid w:val="00DE58D0"/>
    <w:rsid w:val="00DE654F"/>
    <w:rsid w:val="00DF0B6E"/>
    <w:rsid w:val="00DF15E0"/>
    <w:rsid w:val="00DF37A0"/>
    <w:rsid w:val="00DF4CF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EE4"/>
    <w:rsid w:val="00E67C51"/>
    <w:rsid w:val="00E72EFC"/>
    <w:rsid w:val="00E758EC"/>
    <w:rsid w:val="00E8048D"/>
    <w:rsid w:val="00E8234C"/>
    <w:rsid w:val="00E83AA9"/>
    <w:rsid w:val="00E85928"/>
    <w:rsid w:val="00E87822"/>
    <w:rsid w:val="00E90395"/>
    <w:rsid w:val="00E90E49"/>
    <w:rsid w:val="00E917F9"/>
    <w:rsid w:val="00E9291C"/>
    <w:rsid w:val="00E93FFE"/>
    <w:rsid w:val="00E94F8A"/>
    <w:rsid w:val="00EA7A41"/>
    <w:rsid w:val="00EB077B"/>
    <w:rsid w:val="00EB4EA2"/>
    <w:rsid w:val="00EC1108"/>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747"/>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rsid w:val="00123F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2BF5E-F413-4D27-B8C7-0DC330C1F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3</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Stephen Grant</cp:lastModifiedBy>
  <cp:revision>2</cp:revision>
  <cp:lastPrinted>2008-01-31T07:09:00Z</cp:lastPrinted>
  <dcterms:created xsi:type="dcterms:W3CDTF">2018-05-11T16:21:00Z</dcterms:created>
  <dcterms:modified xsi:type="dcterms:W3CDTF">2018-05-11T16:21:00Z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